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bCs/>
          <w:color w:val="auto"/>
          <w:sz w:val="44"/>
          <w:szCs w:val="44"/>
        </w:rPr>
      </w:pPr>
      <w:bookmarkStart w:id="0" w:name="OLE_LINK1"/>
      <w:r>
        <w:rPr>
          <w:rFonts w:hint="eastAsia"/>
          <w:b/>
          <w:bCs/>
          <w:color w:val="auto"/>
          <w:sz w:val="44"/>
          <w:szCs w:val="44"/>
          <w:lang w:val="en-US" w:eastAsia="zh-CN"/>
        </w:rPr>
        <w:t>认证证书和认证标志的使用</w:t>
      </w:r>
      <w:r>
        <w:rPr>
          <w:rFonts w:hint="eastAsia"/>
          <w:b/>
          <w:bCs/>
          <w:color w:val="auto"/>
          <w:sz w:val="44"/>
          <w:szCs w:val="44"/>
        </w:rPr>
        <w:t>管理程序</w:t>
      </w:r>
    </w:p>
    <w:p>
      <w:pPr>
        <w:spacing w:line="360" w:lineRule="auto"/>
        <w:jc w:val="left"/>
        <w:rPr>
          <w:rFonts w:hint="eastAsia"/>
          <w:color w:val="auto"/>
          <w:sz w:val="24"/>
          <w:szCs w:val="24"/>
        </w:rPr>
      </w:pPr>
    </w:p>
    <w:bookmarkEnd w:id="0"/>
    <w:p>
      <w:pPr>
        <w:numPr>
          <w:ilvl w:val="0"/>
          <w:numId w:val="1"/>
        </w:numPr>
        <w:spacing w:line="360" w:lineRule="auto"/>
        <w:rPr>
          <w:rFonts w:hint="eastAsia"/>
          <w:sz w:val="24"/>
          <w:szCs w:val="24"/>
          <w:lang w:val="en-US" w:eastAsia="zh-CN"/>
        </w:rPr>
      </w:pPr>
      <w:r>
        <w:rPr>
          <w:rFonts w:hint="eastAsia"/>
          <w:sz w:val="24"/>
          <w:szCs w:val="24"/>
          <w:lang w:val="en-US" w:eastAsia="zh-CN"/>
        </w:rPr>
        <w:t>获证组织的权利和义务</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1.1授予认证后，获证组织有权使用微谱认证颁发的认证证书和标志，并仅就获准认证的范围和结果进行宣传，不得做夸大和不实宣传。</w:t>
      </w:r>
    </w:p>
    <w:p>
      <w:pPr>
        <w:numPr>
          <w:ilvl w:val="0"/>
          <w:numId w:val="0"/>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1.2获证组织在宣传认证结果时不应损害微谱认证的声誉。</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1.3获证组织承诺正确使用认证证书、标志和有关信息，不利用管理体系证书和相关文字、符号误导公众认为其产品或服务通过某项实际没有获取的认证。</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1.4若获证组织认证资格被暂停，获证组织不得再以任何方式使用认证证书、认证标识或引用认证信息；若获证组织被撤销/注销认证资格时，获证组织必须立即交回认证证书，并停止使用认证证书、认证标识或引用认证信息。</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1.5获证组织承诺提供的所有材料、证据和记录是真实的，一旦有证据表明获证组织提供了不真实的记录或提供虚假材料，微谱认证有权随时撤销已颁发给获证组织的认证证书。</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1.6获证组织应遵守认证认可相关法律法规，协助认证监管部门的监督检查，对有关事项的</w:t>
      </w:r>
    </w:p>
    <w:p>
      <w:pPr>
        <w:numPr>
          <w:ilvl w:val="0"/>
          <w:numId w:val="0"/>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询问和调查如实提供相关材料和信息。若持有的微谱认证所颁发证书如带有认可标志，则获证组织应当接受认可机构进行的见证评审、确认审核、专项检查或不定期抽查等，否则将会导致认证资格被撤销。</w:t>
      </w:r>
    </w:p>
    <w:p>
      <w:pPr>
        <w:numPr>
          <w:ilvl w:val="0"/>
          <w:numId w:val="1"/>
        </w:numPr>
        <w:spacing w:line="360" w:lineRule="auto"/>
        <w:rPr>
          <w:rFonts w:hint="default"/>
          <w:sz w:val="24"/>
          <w:szCs w:val="24"/>
          <w:lang w:val="en-US" w:eastAsia="zh-CN"/>
        </w:rPr>
      </w:pPr>
      <w:r>
        <w:rPr>
          <w:rFonts w:hint="eastAsia"/>
          <w:sz w:val="24"/>
          <w:szCs w:val="24"/>
          <w:lang w:val="en-US" w:eastAsia="zh-CN"/>
        </w:rPr>
        <w:t>微谱认证的权利和义务</w:t>
      </w:r>
    </w:p>
    <w:p>
      <w:pPr>
        <w:numPr>
          <w:ilvl w:val="0"/>
          <w:numId w:val="0"/>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2.1微谱认证</w:t>
      </w:r>
      <w:r>
        <w:rPr>
          <w:rFonts w:hint="default" w:ascii="宋体" w:hAnsi="宋体" w:cs="宋体"/>
          <w:sz w:val="24"/>
          <w:szCs w:val="24"/>
          <w:lang w:val="en-US" w:eastAsia="zh-CN"/>
        </w:rPr>
        <w:t>的管理体系经认证评定合格，并支付完毕本合同约定的全部费用后，</w:t>
      </w:r>
      <w:r>
        <w:rPr>
          <w:rFonts w:hint="eastAsia" w:ascii="宋体" w:hAnsi="宋体" w:cs="宋体"/>
          <w:sz w:val="24"/>
          <w:szCs w:val="24"/>
          <w:lang w:val="en-US" w:eastAsia="zh-CN"/>
        </w:rPr>
        <w:t>微谱认证</w:t>
      </w:r>
      <w:r>
        <w:rPr>
          <w:rFonts w:hint="default" w:ascii="宋体" w:hAnsi="宋体" w:cs="宋体"/>
          <w:sz w:val="24"/>
          <w:szCs w:val="24"/>
          <w:lang w:val="en-US" w:eastAsia="zh-CN"/>
        </w:rPr>
        <w:t>应向</w:t>
      </w:r>
      <w:r>
        <w:rPr>
          <w:rFonts w:hint="eastAsia" w:ascii="宋体" w:hAnsi="宋体" w:cs="宋体"/>
          <w:sz w:val="24"/>
          <w:szCs w:val="24"/>
          <w:lang w:val="en-US" w:eastAsia="zh-CN"/>
        </w:rPr>
        <w:t>微谱认证</w:t>
      </w:r>
      <w:r>
        <w:rPr>
          <w:rFonts w:hint="default" w:ascii="宋体" w:hAnsi="宋体" w:cs="宋体"/>
          <w:sz w:val="24"/>
          <w:szCs w:val="24"/>
          <w:lang w:val="en-US" w:eastAsia="zh-CN"/>
        </w:rPr>
        <w:t>颁发认证证书、认证标志，并在有关媒体上向社会予以通告（公开信息包括</w:t>
      </w:r>
      <w:r>
        <w:rPr>
          <w:rFonts w:hint="eastAsia" w:ascii="宋体" w:hAnsi="宋体" w:cs="宋体"/>
          <w:sz w:val="24"/>
          <w:szCs w:val="24"/>
          <w:lang w:val="en-US" w:eastAsia="zh-CN"/>
        </w:rPr>
        <w:t>微谱认证</w:t>
      </w:r>
      <w:r>
        <w:rPr>
          <w:rFonts w:hint="default" w:ascii="宋体" w:hAnsi="宋体" w:cs="宋体"/>
          <w:sz w:val="24"/>
          <w:szCs w:val="24"/>
          <w:lang w:val="en-US" w:eastAsia="zh-CN"/>
        </w:rPr>
        <w:t>的名称、地址、注册范围、证书编号、证书状态及有效期）。</w:t>
      </w:r>
    </w:p>
    <w:p>
      <w:pPr>
        <w:numPr>
          <w:ilvl w:val="0"/>
          <w:numId w:val="0"/>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2.2</w:t>
      </w:r>
      <w:r>
        <w:rPr>
          <w:rFonts w:hint="default" w:ascii="宋体" w:hAnsi="宋体" w:cs="宋体"/>
          <w:sz w:val="24"/>
          <w:szCs w:val="24"/>
          <w:lang w:val="en-US" w:eastAsia="zh-CN"/>
        </w:rPr>
        <w:t>获准认证后，</w:t>
      </w:r>
      <w:r>
        <w:rPr>
          <w:rFonts w:hint="eastAsia" w:ascii="宋体" w:hAnsi="宋体" w:cs="宋体"/>
          <w:sz w:val="24"/>
          <w:szCs w:val="24"/>
          <w:lang w:val="en-US" w:eastAsia="zh-CN"/>
        </w:rPr>
        <w:t>微谱认证</w:t>
      </w:r>
      <w:r>
        <w:rPr>
          <w:rFonts w:hint="default" w:ascii="宋体" w:hAnsi="宋体" w:cs="宋体"/>
          <w:sz w:val="24"/>
          <w:szCs w:val="24"/>
          <w:lang w:val="en-US" w:eastAsia="zh-CN"/>
        </w:rPr>
        <w:t>的管理体系经</w:t>
      </w:r>
      <w:r>
        <w:rPr>
          <w:rFonts w:hint="eastAsia" w:ascii="宋体" w:hAnsi="宋体" w:cs="宋体"/>
          <w:sz w:val="24"/>
          <w:szCs w:val="24"/>
          <w:lang w:val="en-US" w:eastAsia="zh-CN"/>
        </w:rPr>
        <w:t>微谱认证</w:t>
      </w:r>
      <w:r>
        <w:rPr>
          <w:rFonts w:hint="default" w:ascii="宋体" w:hAnsi="宋体" w:cs="宋体"/>
          <w:sz w:val="24"/>
          <w:szCs w:val="24"/>
          <w:lang w:val="en-US" w:eastAsia="zh-CN"/>
        </w:rPr>
        <w:t>监督审核证实持续满足审核准则要求，</w:t>
      </w:r>
      <w:r>
        <w:rPr>
          <w:rFonts w:hint="eastAsia" w:ascii="宋体" w:hAnsi="宋体" w:cs="宋体"/>
          <w:sz w:val="24"/>
          <w:szCs w:val="24"/>
          <w:lang w:val="en-US" w:eastAsia="zh-CN"/>
        </w:rPr>
        <w:t>微谱认证</w:t>
      </w:r>
      <w:r>
        <w:rPr>
          <w:rFonts w:hint="default" w:ascii="宋体" w:hAnsi="宋体" w:cs="宋体"/>
          <w:sz w:val="24"/>
          <w:szCs w:val="24"/>
          <w:lang w:val="en-US" w:eastAsia="zh-CN"/>
        </w:rPr>
        <w:t>应向</w:t>
      </w:r>
      <w:r>
        <w:rPr>
          <w:rFonts w:hint="eastAsia" w:ascii="宋体" w:hAnsi="宋体" w:cs="宋体"/>
          <w:sz w:val="24"/>
          <w:szCs w:val="24"/>
          <w:lang w:val="en-US" w:eastAsia="zh-CN"/>
        </w:rPr>
        <w:t>微谱认证</w:t>
      </w:r>
      <w:r>
        <w:rPr>
          <w:rFonts w:hint="default" w:ascii="宋体" w:hAnsi="宋体" w:cs="宋体"/>
          <w:sz w:val="24"/>
          <w:szCs w:val="24"/>
          <w:lang w:val="en-US" w:eastAsia="zh-CN"/>
        </w:rPr>
        <w:t>发出认证资格保持通知及相应标志。</w:t>
      </w:r>
    </w:p>
    <w:p>
      <w:pPr>
        <w:numPr>
          <w:ilvl w:val="0"/>
          <w:numId w:val="0"/>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2.3</w:t>
      </w:r>
      <w:r>
        <w:rPr>
          <w:rFonts w:hint="default" w:ascii="宋体" w:hAnsi="宋体" w:cs="宋体"/>
          <w:sz w:val="24"/>
          <w:szCs w:val="24"/>
          <w:lang w:val="en-US" w:eastAsia="zh-CN"/>
        </w:rPr>
        <w:t>获准认证后，</w:t>
      </w:r>
      <w:r>
        <w:rPr>
          <w:rFonts w:hint="eastAsia" w:ascii="宋体" w:hAnsi="宋体" w:cs="宋体"/>
          <w:sz w:val="24"/>
          <w:szCs w:val="24"/>
          <w:lang w:val="en-US" w:eastAsia="zh-CN"/>
        </w:rPr>
        <w:t>微谱认证</w:t>
      </w:r>
      <w:r>
        <w:rPr>
          <w:rFonts w:hint="default" w:ascii="宋体" w:hAnsi="宋体" w:cs="宋体"/>
          <w:sz w:val="24"/>
          <w:szCs w:val="24"/>
          <w:lang w:val="en-US" w:eastAsia="zh-CN"/>
        </w:rPr>
        <w:t>若违反了认证认可规则的有关规定，</w:t>
      </w:r>
      <w:r>
        <w:rPr>
          <w:rFonts w:hint="eastAsia" w:ascii="宋体" w:hAnsi="宋体" w:cs="宋体"/>
          <w:sz w:val="24"/>
          <w:szCs w:val="24"/>
          <w:lang w:val="en-US" w:eastAsia="zh-CN"/>
        </w:rPr>
        <w:t>微谱认证</w:t>
      </w:r>
      <w:r>
        <w:rPr>
          <w:rFonts w:hint="default" w:ascii="宋体" w:hAnsi="宋体" w:cs="宋体"/>
          <w:sz w:val="24"/>
          <w:szCs w:val="24"/>
          <w:lang w:val="en-US" w:eastAsia="zh-CN"/>
        </w:rPr>
        <w:t>应暂停、撤销/注销</w:t>
      </w:r>
      <w:r>
        <w:rPr>
          <w:rFonts w:hint="eastAsia" w:ascii="宋体" w:hAnsi="宋体" w:cs="宋体"/>
          <w:sz w:val="24"/>
          <w:szCs w:val="24"/>
          <w:lang w:val="en-US" w:eastAsia="zh-CN"/>
        </w:rPr>
        <w:t>获证组织</w:t>
      </w:r>
      <w:r>
        <w:rPr>
          <w:rFonts w:hint="default" w:ascii="宋体" w:hAnsi="宋体" w:cs="宋体"/>
          <w:sz w:val="24"/>
          <w:szCs w:val="24"/>
          <w:lang w:val="en-US" w:eastAsia="zh-CN"/>
        </w:rPr>
        <w:t>认证资格，并在有关媒体上向社会</w:t>
      </w:r>
      <w:bookmarkStart w:id="2" w:name="_GoBack"/>
      <w:bookmarkEnd w:id="2"/>
      <w:r>
        <w:rPr>
          <w:rFonts w:hint="default" w:ascii="宋体" w:hAnsi="宋体" w:cs="宋体"/>
          <w:sz w:val="24"/>
          <w:szCs w:val="24"/>
          <w:lang w:val="en-US" w:eastAsia="zh-CN"/>
        </w:rPr>
        <w:t>通告。</w:t>
      </w:r>
    </w:p>
    <w:p>
      <w:pPr>
        <w:numPr>
          <w:ilvl w:val="0"/>
          <w:numId w:val="0"/>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2.4</w:t>
      </w:r>
      <w:r>
        <w:rPr>
          <w:rFonts w:hint="default" w:ascii="宋体" w:hAnsi="宋体" w:cs="宋体"/>
          <w:sz w:val="24"/>
          <w:szCs w:val="24"/>
          <w:lang w:val="en-US" w:eastAsia="zh-CN"/>
        </w:rPr>
        <w:t>获准认证后，</w:t>
      </w:r>
      <w:r>
        <w:rPr>
          <w:rFonts w:hint="eastAsia" w:ascii="宋体" w:hAnsi="宋体" w:cs="宋体"/>
          <w:sz w:val="24"/>
          <w:szCs w:val="24"/>
          <w:lang w:val="en-US" w:eastAsia="zh-CN"/>
        </w:rPr>
        <w:t>微谱认证</w:t>
      </w:r>
      <w:r>
        <w:rPr>
          <w:rFonts w:hint="default" w:ascii="宋体" w:hAnsi="宋体" w:cs="宋体"/>
          <w:sz w:val="24"/>
          <w:szCs w:val="24"/>
          <w:lang w:val="en-US" w:eastAsia="zh-CN"/>
        </w:rPr>
        <w:t>若违反了有关认证程序和规定，</w:t>
      </w:r>
      <w:r>
        <w:rPr>
          <w:rFonts w:hint="eastAsia" w:ascii="宋体" w:hAnsi="宋体" w:cs="宋体"/>
          <w:sz w:val="24"/>
          <w:szCs w:val="24"/>
          <w:lang w:val="en-US" w:eastAsia="zh-CN"/>
        </w:rPr>
        <w:t>微谱认证</w:t>
      </w:r>
      <w:r>
        <w:rPr>
          <w:rFonts w:hint="default" w:ascii="宋体" w:hAnsi="宋体" w:cs="宋体"/>
          <w:sz w:val="24"/>
          <w:szCs w:val="24"/>
          <w:lang w:val="en-US" w:eastAsia="zh-CN"/>
        </w:rPr>
        <w:t>有权不定期检查和监督</w:t>
      </w:r>
      <w:r>
        <w:rPr>
          <w:rFonts w:hint="eastAsia" w:ascii="宋体" w:hAnsi="宋体" w:cs="宋体"/>
          <w:sz w:val="24"/>
          <w:szCs w:val="24"/>
          <w:lang w:val="en-US" w:eastAsia="zh-CN"/>
        </w:rPr>
        <w:t>微谱认证</w:t>
      </w:r>
      <w:r>
        <w:rPr>
          <w:rFonts w:hint="default" w:ascii="宋体" w:hAnsi="宋体" w:cs="宋体"/>
          <w:sz w:val="24"/>
          <w:szCs w:val="24"/>
          <w:lang w:val="en-US" w:eastAsia="zh-CN"/>
        </w:rPr>
        <w:t>的管理体系实施情况和认证证书及认证标志的使用情况。</w:t>
      </w:r>
    </w:p>
    <w:p>
      <w:pPr>
        <w:numPr>
          <w:ilvl w:val="0"/>
          <w:numId w:val="0"/>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2.5</w:t>
      </w:r>
      <w:r>
        <w:rPr>
          <w:rFonts w:hint="default" w:ascii="宋体" w:hAnsi="宋体" w:cs="宋体"/>
          <w:sz w:val="24"/>
          <w:szCs w:val="24"/>
          <w:lang w:val="en-US" w:eastAsia="zh-CN"/>
        </w:rPr>
        <w:t>获准认证后，</w:t>
      </w:r>
      <w:r>
        <w:rPr>
          <w:rFonts w:hint="eastAsia" w:ascii="宋体" w:hAnsi="宋体" w:cs="宋体"/>
          <w:sz w:val="24"/>
          <w:szCs w:val="24"/>
          <w:lang w:val="en-US" w:eastAsia="zh-CN"/>
        </w:rPr>
        <w:t>微谱认证</w:t>
      </w:r>
      <w:r>
        <w:rPr>
          <w:rFonts w:hint="default" w:ascii="宋体" w:hAnsi="宋体" w:cs="宋体"/>
          <w:sz w:val="24"/>
          <w:szCs w:val="24"/>
          <w:lang w:val="en-US" w:eastAsia="zh-CN"/>
        </w:rPr>
        <w:t>有权根据相关方的投诉对</w:t>
      </w:r>
      <w:r>
        <w:rPr>
          <w:rFonts w:hint="eastAsia" w:ascii="宋体" w:hAnsi="宋体" w:cs="宋体"/>
          <w:sz w:val="24"/>
          <w:szCs w:val="24"/>
          <w:lang w:val="en-US" w:eastAsia="zh-CN"/>
        </w:rPr>
        <w:t>微谱认证</w:t>
      </w:r>
      <w:r>
        <w:rPr>
          <w:rFonts w:hint="default" w:ascii="宋体" w:hAnsi="宋体" w:cs="宋体"/>
          <w:sz w:val="24"/>
          <w:szCs w:val="24"/>
          <w:lang w:val="en-US" w:eastAsia="zh-CN"/>
        </w:rPr>
        <w:t>进行现场调查和跟踪调查，并据此对</w:t>
      </w:r>
      <w:r>
        <w:rPr>
          <w:rFonts w:hint="eastAsia" w:ascii="宋体" w:hAnsi="宋体" w:cs="宋体"/>
          <w:sz w:val="24"/>
          <w:szCs w:val="24"/>
          <w:lang w:val="en-US" w:eastAsia="zh-CN"/>
        </w:rPr>
        <w:t>微谱认证</w:t>
      </w:r>
      <w:r>
        <w:rPr>
          <w:rFonts w:hint="default" w:ascii="宋体" w:hAnsi="宋体" w:cs="宋体"/>
          <w:sz w:val="24"/>
          <w:szCs w:val="24"/>
          <w:lang w:val="en-US" w:eastAsia="zh-CN"/>
        </w:rPr>
        <w:t>提出整改要求或采取暂停或撤销认证措施。</w:t>
      </w:r>
    </w:p>
    <w:p>
      <w:pPr>
        <w:numPr>
          <w:ilvl w:val="0"/>
          <w:numId w:val="0"/>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2.6</w:t>
      </w:r>
      <w:r>
        <w:rPr>
          <w:rFonts w:hint="default" w:ascii="宋体" w:hAnsi="宋体" w:cs="宋体"/>
          <w:sz w:val="24"/>
          <w:szCs w:val="24"/>
          <w:lang w:val="en-US" w:eastAsia="zh-CN"/>
        </w:rPr>
        <w:t>获准认证后，</w:t>
      </w:r>
      <w:r>
        <w:rPr>
          <w:rFonts w:hint="eastAsia" w:ascii="宋体" w:hAnsi="宋体" w:cs="宋体"/>
          <w:sz w:val="24"/>
          <w:szCs w:val="24"/>
          <w:lang w:val="en-US" w:eastAsia="zh-CN"/>
        </w:rPr>
        <w:t>微谱认证</w:t>
      </w:r>
      <w:r>
        <w:rPr>
          <w:rFonts w:hint="default" w:ascii="宋体" w:hAnsi="宋体" w:cs="宋体"/>
          <w:sz w:val="24"/>
          <w:szCs w:val="24"/>
          <w:lang w:val="en-US" w:eastAsia="zh-CN"/>
        </w:rPr>
        <w:t>有权依据</w:t>
      </w:r>
      <w:r>
        <w:rPr>
          <w:rFonts w:hint="eastAsia" w:ascii="宋体" w:hAnsi="宋体" w:cs="宋体"/>
          <w:sz w:val="24"/>
          <w:szCs w:val="24"/>
          <w:lang w:val="en-US" w:eastAsia="zh-CN"/>
        </w:rPr>
        <w:t>微谱认证</w:t>
      </w:r>
      <w:r>
        <w:rPr>
          <w:rFonts w:hint="default" w:ascii="宋体" w:hAnsi="宋体" w:cs="宋体"/>
          <w:sz w:val="24"/>
          <w:szCs w:val="24"/>
          <w:lang w:val="en-US" w:eastAsia="zh-CN"/>
        </w:rPr>
        <w:t>提供的信息或在特殊审核[注]期间审核组直接收集的有关导致监管机构参与（调查）的事件信息（如严重事故或严重违法（行为））采取措施，一旦证明体系严重地不能满足管理体系认证要求，</w:t>
      </w:r>
      <w:r>
        <w:rPr>
          <w:rFonts w:hint="eastAsia" w:ascii="宋体" w:hAnsi="宋体" w:cs="宋体"/>
          <w:sz w:val="24"/>
          <w:szCs w:val="24"/>
          <w:lang w:val="en-US" w:eastAsia="zh-CN"/>
        </w:rPr>
        <w:t>微谱认证</w:t>
      </w:r>
      <w:r>
        <w:rPr>
          <w:rFonts w:hint="default" w:ascii="宋体" w:hAnsi="宋体" w:cs="宋体"/>
          <w:sz w:val="24"/>
          <w:szCs w:val="24"/>
          <w:lang w:val="en-US" w:eastAsia="zh-CN"/>
        </w:rPr>
        <w:t>有权暂停或撤销</w:t>
      </w:r>
      <w:r>
        <w:rPr>
          <w:rFonts w:hint="eastAsia" w:ascii="宋体" w:hAnsi="宋体" w:cs="宋体"/>
          <w:sz w:val="24"/>
          <w:szCs w:val="24"/>
          <w:lang w:val="en-US" w:eastAsia="zh-CN"/>
        </w:rPr>
        <w:t>微谱认证</w:t>
      </w:r>
      <w:r>
        <w:rPr>
          <w:rFonts w:hint="default" w:ascii="宋体" w:hAnsi="宋体" w:cs="宋体"/>
          <w:sz w:val="24"/>
          <w:szCs w:val="24"/>
          <w:lang w:val="en-US" w:eastAsia="zh-CN"/>
        </w:rPr>
        <w:t>的认证证书。</w:t>
      </w:r>
    </w:p>
    <w:p>
      <w:pPr>
        <w:numPr>
          <w:ilvl w:val="0"/>
          <w:numId w:val="1"/>
        </w:numPr>
        <w:spacing w:line="360" w:lineRule="auto"/>
        <w:rPr>
          <w:rFonts w:hint="default"/>
          <w:sz w:val="24"/>
          <w:szCs w:val="24"/>
          <w:lang w:val="en-US" w:eastAsia="zh-CN"/>
        </w:rPr>
      </w:pPr>
      <w:r>
        <w:rPr>
          <w:rFonts w:hint="eastAsia"/>
          <w:sz w:val="24"/>
          <w:szCs w:val="24"/>
          <w:lang w:val="en-US" w:eastAsia="zh-CN"/>
        </w:rPr>
        <w:t>认证证书和标志使用要求</w:t>
      </w:r>
    </w:p>
    <w:p>
      <w:pPr>
        <w:numPr>
          <w:ilvl w:val="0"/>
          <w:numId w:val="0"/>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3.1认证证书和认证标志的使用</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3.1.1获证组织应对认证证书和认证标志的使用进行管理，公司于正式发证前告知获证组织认证证书和标志的使用要求，如部分服务、产品对认证证书、标志、标签等有特殊要求时，此类使用要求或规定已被记录于相应服务、产品的实施规则中。</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3.1.2认证证书应得到正确的使用，如在宣传、投标等活动中展示认证证书，也可在文件、信签、广告和有关宣传材料上影印认证证书，使用必须完整，不得变形使用。</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3.1.3获证组织不得变造、转让甚至非法买卖认证证书，也不得在知情的前提下容许他人或组织利用本组织的认证证书伪造、变造或冒用认证证书。</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3.1.4获证组织不得利用管理体系认证证书和相关文字、符号，误导公众认为其产品、服务通过认证。获证组织的管理体系发生重大变化时，应当向机构申请变更，未变更或者经机构调查发现不符合认证要求的，不得继续使用该认证证书。</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3.1.5获证组织可以在产品包装上、附带信息及其他材料中声明组织的管理体系通过认证，但声明不应暗示产品、过程或服务得到了认证，声明应包含以下信息或对其的引用，包括：获证客户的标识，如品牌或名称；管理体系的类型（如质量、环境、职业健康安全）和适用标准；颁发证书的认证机构。</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注1：一个清楚的声明可以是“**有限公司通过了上海微谱认证有限公司基于GB/T19001-2016/ISO9001:2015标准的质量管理体系认证”。</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注2：产品包装的判别标准是其可从产品上移除且不会导致产品分解、碎裂或损坏。型号标签或铭牌被视为产品的一部分。</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注3：附带信息的判别标准是其可分开获得或易于分离，如产品合格证、产品使用说明书。</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注4：其他材料包括网页、宣传品、杂志、书籍、广告、促销材料、名片、投标书等。</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3.1.6机构拥有认证标志的所有权，并授权获证组织在认证范围和认证有效期内按照本文件的规定使用认证标志。获证组织拥有认证标志使用权，使用前须经机构对其使用方式进行认可、加以备案，未经机构允许，不得转让认证标志使用权。</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3.1.7获证组织不得将认证标志用于产品或产品包装之上，或以任何其他可解释为表示产品符合性的方式使用，可以将认证标志用在网页、宣传品、杂志、书籍、广告、促销材料、投标书等其他材料上，不允许将认证标志用于检测、校准或检验的报告或证书。</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3.1.8获证组织可以采用印刷、图文和印章等方式使用认证标志，并应保证认证标志的完整，可按比例放大或缩小，但应确保认证标志的颜色与认证机构的徽标颜色一致并清晰可辨。当使用符号或标徽时，宜充分注意避免在宣传认证结果时损害认证机构的声誉。</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3.1.9获证组织的认证范围被缩小时，获证组织应修改所有的广告材料。</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3.1.10获证组织认证资格被撤销时，应立即停止任何关于获机构认证的宣传，并应立即停止在网页、宣传品、杂志、书籍、广告、促销材料、名片、投标书等其他材料上继续使用认证标志。</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3.1.11获证组织认证资格被撤销时，应立即停止任何关于获机构认证的宣传，并应立即停止在网页、宣传品、杂志、书籍、广告、促销材料、名片、投标书等其他材料上继续使用认证标志。</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3.1.12当获证组织因认证标志引起法律诉讼时，应及时通告机构。</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3.1.13必要时，机构将与获准认证的组织协商制定对认证标志使用的其他要求，并形成相关文件。</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3.1.14机构有权对获证组织使用认证证书和认证标志的情况进行监督，一旦发现获证组织有错误使用认证证书和认证标志现象，可以责成其采取纠正措施，并视情节轻重采取暂停直致撤销其认证证书的措施，也可以上报国家认证认可监督管理委员会进行处理。</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3.2认可标志的使用</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3.2.1获证组织须在与机构签署有关使用认可标志的协议后才可以使用认可标志，认可标志应与认证机构的认证标志并列使用，例如：</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drawing>
          <wp:anchor distT="0" distB="0" distL="114300" distR="114300" simplePos="0" relativeHeight="251660288" behindDoc="0" locked="0" layoutInCell="1" allowOverlap="1">
            <wp:simplePos x="0" y="0"/>
            <wp:positionH relativeFrom="column">
              <wp:posOffset>624840</wp:posOffset>
            </wp:positionH>
            <wp:positionV relativeFrom="paragraph">
              <wp:posOffset>259080</wp:posOffset>
            </wp:positionV>
            <wp:extent cx="1859915" cy="889000"/>
            <wp:effectExtent l="0" t="0" r="0" b="0"/>
            <wp:wrapNone/>
            <wp:docPr id="4" name="图片 6" descr="微谱Logo（SOP页眉H1.55xW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微谱Logo（SOP页眉H1.55xW3.24）.png"/>
                    <pic:cNvPicPr>
                      <a:picLocks noChangeAspect="1"/>
                    </pic:cNvPicPr>
                  </pic:nvPicPr>
                  <pic:blipFill>
                    <a:blip r:embed="rId6"/>
                    <a:stretch>
                      <a:fillRect/>
                    </a:stretch>
                  </pic:blipFill>
                  <pic:spPr>
                    <a:xfrm>
                      <a:off x="0" y="0"/>
                      <a:ext cx="1859915" cy="889000"/>
                    </a:xfrm>
                    <a:prstGeom prst="rect">
                      <a:avLst/>
                    </a:prstGeom>
                    <a:noFill/>
                    <a:ln>
                      <a:noFill/>
                    </a:ln>
                  </pic:spPr>
                </pic:pic>
              </a:graphicData>
            </a:graphic>
          </wp:anchor>
        </w:drawing>
      </w:r>
      <w:r>
        <w:rPr>
          <w:rFonts w:hint="eastAsia" w:ascii="宋体" w:hAnsi="宋体" w:cs="宋体"/>
          <w:sz w:val="24"/>
          <w:szCs w:val="24"/>
          <w:lang w:val="en-US" w:eastAsia="zh-CN"/>
        </w:rPr>
        <w:drawing>
          <wp:anchor distT="0" distB="0" distL="114300" distR="114300" simplePos="0" relativeHeight="251659264" behindDoc="0" locked="0" layoutInCell="1" allowOverlap="1">
            <wp:simplePos x="0" y="0"/>
            <wp:positionH relativeFrom="column">
              <wp:posOffset>2517775</wp:posOffset>
            </wp:positionH>
            <wp:positionV relativeFrom="paragraph">
              <wp:posOffset>203835</wp:posOffset>
            </wp:positionV>
            <wp:extent cx="3024505" cy="1024255"/>
            <wp:effectExtent l="0" t="0" r="4445" b="4445"/>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7"/>
                    <a:stretch>
                      <a:fillRect/>
                    </a:stretch>
                  </pic:blipFill>
                  <pic:spPr>
                    <a:xfrm>
                      <a:off x="0" y="0"/>
                      <a:ext cx="3024505" cy="1024255"/>
                    </a:xfrm>
                    <a:prstGeom prst="rect">
                      <a:avLst/>
                    </a:prstGeom>
                    <a:noFill/>
                    <a:ln>
                      <a:noFill/>
                    </a:ln>
                  </pic:spPr>
                </pic:pic>
              </a:graphicData>
            </a:graphic>
          </wp:anchor>
        </w:drawing>
      </w: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3.2.2获证组织不得将认可标志用于产品、产品包装及附带信息上，可用于网页、宣传品、杂志、书籍、广告、促销材料、名片、投标书等其他材料。</w:t>
      </w:r>
    </w:p>
    <w:p>
      <w:pPr>
        <w:numPr>
          <w:ilvl w:val="0"/>
          <w:numId w:val="0"/>
        </w:numPr>
        <w:bidi w:val="0"/>
        <w:spacing w:line="360" w:lineRule="auto"/>
        <w:rPr>
          <w:rFonts w:hint="eastAsia"/>
          <w:sz w:val="24"/>
          <w:szCs w:val="24"/>
          <w:lang w:val="en-US" w:eastAsia="zh-CN"/>
        </w:rPr>
      </w:pPr>
      <w:r>
        <w:rPr>
          <w:rFonts w:hint="eastAsia" w:ascii="宋体" w:hAnsi="宋体" w:cs="宋体"/>
          <w:sz w:val="24"/>
          <w:szCs w:val="24"/>
          <w:lang w:val="en-US" w:eastAsia="zh-CN"/>
        </w:rPr>
        <w:t>3.2.3获证组织严禁使用IAF-MLA/CNAS联合标志。</w:t>
      </w:r>
    </w:p>
    <w:p>
      <w:pPr>
        <w:numPr>
          <w:ilvl w:val="0"/>
          <w:numId w:val="1"/>
        </w:numPr>
        <w:spacing w:line="360" w:lineRule="auto"/>
        <w:rPr>
          <w:rFonts w:hint="default"/>
          <w:sz w:val="24"/>
          <w:szCs w:val="24"/>
          <w:lang w:val="en-US" w:eastAsia="zh-CN"/>
        </w:rPr>
      </w:pPr>
      <w:r>
        <w:rPr>
          <w:rFonts w:hint="eastAsia"/>
          <w:sz w:val="24"/>
          <w:szCs w:val="24"/>
          <w:lang w:val="en-US" w:eastAsia="zh-CN"/>
        </w:rPr>
        <w:t>认可证书和标志使用要求</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4.1认可证书使用</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4.1.1机构可以在公开出版物、文件、宣传品、网页等载体上展示认可证书，展示的证书应清晰可辨。</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4.1.2当机构的名称、地址、或CNAS的认可要求发生变化时，应向CNAS提出申请换发认可证书。</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4.1.3机构也可以将认可证书用于认证业务投标，向客户展示的认可证书应在认可证书有效期内。在单独使用认可证书的部分文件时，应准确地表述其认可状态和认可范围，避免产生误导或歧义。</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4.1.4机构被撤销认可资格后，应立即交还认可证书。</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4.2 CNAS认可标志使用</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4.2.1机构应在颁发的认证证书上使用CNAS认可标志。</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4.2.2机构在使用认可标志时应与本机构的名称或徽标在同一个页面。</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4.2.3认可标志的使用不应使相关方误认为CNAS对获得认证的特定管理体系进行了批准。</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4.2.4机构在向获证组织颁发“获证牌匾”时，该牌匾中CNAS认可标志的使用应符合本文件的规定，并应在正式使用前将“获证牌匾”样式提交CNAS备案。</w:t>
      </w:r>
    </w:p>
    <w:p>
      <w:pPr>
        <w:numPr>
          <w:ilvl w:val="0"/>
          <w:numId w:val="0"/>
        </w:numPr>
        <w:bidi w:val="0"/>
        <w:spacing w:line="360" w:lineRule="auto"/>
        <w:rPr>
          <w:rFonts w:hint="eastAsia" w:ascii="宋体" w:hAnsi="宋体" w:cs="宋体"/>
          <w:sz w:val="21"/>
          <w:szCs w:val="21"/>
          <w:lang w:val="en-US" w:eastAsia="zh-CN"/>
        </w:rPr>
      </w:pPr>
      <w:r>
        <w:rPr>
          <w:rFonts w:hint="eastAsia" w:ascii="宋体" w:hAnsi="宋体" w:cs="宋体"/>
          <w:sz w:val="24"/>
          <w:szCs w:val="24"/>
          <w:lang w:val="en-US" w:eastAsia="zh-CN"/>
        </w:rPr>
        <w:t xml:space="preserve">4.3 </w:t>
      </w:r>
      <w:r>
        <w:rPr>
          <w:rFonts w:hint="eastAsia" w:ascii="宋体" w:hAnsi="宋体" w:cs="宋体"/>
          <w:sz w:val="21"/>
          <w:szCs w:val="21"/>
          <w:lang w:val="en-US" w:eastAsia="zh-CN"/>
        </w:rPr>
        <w:t>IAF-MLA/CNAS联合标志使用</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4.3.1当IAF-MLA/CNAS联合标志与认证机构徽标采用紧密使用方式时，采用以下式样，例如：</w:t>
      </w:r>
    </w:p>
    <w:p>
      <w:pPr>
        <w:numPr>
          <w:ilvl w:val="0"/>
          <w:numId w:val="0"/>
        </w:numPr>
        <w:bidi w:val="0"/>
        <w:spacing w:line="360" w:lineRule="auto"/>
        <w:rPr>
          <w:rFonts w:hint="eastAsia" w:ascii="宋体" w:hAnsi="宋体" w:cs="宋体"/>
          <w:sz w:val="24"/>
          <w:szCs w:val="24"/>
          <w:lang w:val="en-US" w:eastAsia="zh-CN"/>
        </w:rPr>
      </w:pPr>
      <w:r>
        <w:drawing>
          <wp:anchor distT="0" distB="0" distL="114300" distR="114300" simplePos="0" relativeHeight="251661312" behindDoc="0" locked="0" layoutInCell="1" allowOverlap="1">
            <wp:simplePos x="0" y="0"/>
            <wp:positionH relativeFrom="column">
              <wp:posOffset>1721485</wp:posOffset>
            </wp:positionH>
            <wp:positionV relativeFrom="paragraph">
              <wp:posOffset>255270</wp:posOffset>
            </wp:positionV>
            <wp:extent cx="4097020" cy="1000760"/>
            <wp:effectExtent l="0" t="0" r="8255" b="8890"/>
            <wp:wrapNone/>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8"/>
                    <a:srcRect l="2391" r="2405"/>
                    <a:stretch>
                      <a:fillRect/>
                    </a:stretch>
                  </pic:blipFill>
                  <pic:spPr>
                    <a:xfrm>
                      <a:off x="0" y="0"/>
                      <a:ext cx="4097020" cy="1000760"/>
                    </a:xfrm>
                    <a:prstGeom prst="rect">
                      <a:avLst/>
                    </a:prstGeom>
                    <a:noFill/>
                    <a:ln>
                      <a:noFill/>
                    </a:ln>
                  </pic:spPr>
                </pic:pic>
              </a:graphicData>
            </a:graphic>
          </wp:anchor>
        </w:drawing>
      </w:r>
    </w:p>
    <w:p>
      <w:pPr>
        <w:numPr>
          <w:ilvl w:val="0"/>
          <w:numId w:val="0"/>
        </w:numPr>
        <w:bidi w:val="0"/>
        <w:spacing w:line="360" w:lineRule="auto"/>
        <w:rPr>
          <w:rFonts w:hint="eastAsia" w:ascii="宋体" w:hAnsi="宋体" w:cs="宋体"/>
          <w:sz w:val="24"/>
          <w:szCs w:val="24"/>
          <w:lang w:val="en-US" w:eastAsia="zh-CN"/>
        </w:rPr>
      </w:pPr>
      <w:r>
        <w:drawing>
          <wp:anchor distT="0" distB="0" distL="114300" distR="114300" simplePos="0" relativeHeight="251662336" behindDoc="0" locked="0" layoutInCell="1" allowOverlap="1">
            <wp:simplePos x="0" y="0"/>
            <wp:positionH relativeFrom="column">
              <wp:posOffset>135255</wp:posOffset>
            </wp:positionH>
            <wp:positionV relativeFrom="paragraph">
              <wp:posOffset>130175</wp:posOffset>
            </wp:positionV>
            <wp:extent cx="1631315" cy="779780"/>
            <wp:effectExtent l="0" t="0" r="0" b="0"/>
            <wp:wrapNone/>
            <wp:docPr id="10" name="图片 7" descr="微谱Logo（SOP页眉H1.55xW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微谱Logo（SOP页眉H1.55xW3.24）.png"/>
                    <pic:cNvPicPr>
                      <a:picLocks noChangeAspect="1"/>
                    </pic:cNvPicPr>
                  </pic:nvPicPr>
                  <pic:blipFill>
                    <a:blip r:embed="rId6"/>
                    <a:stretch>
                      <a:fillRect/>
                    </a:stretch>
                  </pic:blipFill>
                  <pic:spPr>
                    <a:xfrm>
                      <a:off x="0" y="0"/>
                      <a:ext cx="1631315" cy="779780"/>
                    </a:xfrm>
                    <a:prstGeom prst="rect">
                      <a:avLst/>
                    </a:prstGeom>
                    <a:noFill/>
                    <a:ln>
                      <a:noFill/>
                    </a:ln>
                  </pic:spPr>
                </pic:pic>
              </a:graphicData>
            </a:graphic>
          </wp:anchor>
        </w:drawing>
      </w: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4.3.2当IAF-MLA/CNAS联合标志与认证机构徽标采用非紧密方式使用时，采用以下式样，例如:</w:t>
      </w:r>
    </w:p>
    <w:p>
      <w:pPr>
        <w:numPr>
          <w:ilvl w:val="0"/>
          <w:numId w:val="0"/>
        </w:numPr>
        <w:bidi w:val="0"/>
        <w:spacing w:line="360" w:lineRule="auto"/>
        <w:rPr>
          <w:rFonts w:hint="eastAsia" w:ascii="宋体" w:hAnsi="宋体" w:cs="宋体"/>
          <w:sz w:val="24"/>
          <w:szCs w:val="24"/>
          <w:lang w:val="en-US" w:eastAsia="zh-CN"/>
        </w:rPr>
      </w:pPr>
      <w:r>
        <w:drawing>
          <wp:anchor distT="0" distB="0" distL="114300" distR="114300" simplePos="0" relativeHeight="251663360" behindDoc="0" locked="0" layoutInCell="1" allowOverlap="1">
            <wp:simplePos x="0" y="0"/>
            <wp:positionH relativeFrom="column">
              <wp:posOffset>873125</wp:posOffset>
            </wp:positionH>
            <wp:positionV relativeFrom="paragraph">
              <wp:posOffset>100965</wp:posOffset>
            </wp:positionV>
            <wp:extent cx="4752975" cy="1104900"/>
            <wp:effectExtent l="0" t="0" r="0" b="0"/>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8"/>
                    <a:stretch>
                      <a:fillRect/>
                    </a:stretch>
                  </pic:blipFill>
                  <pic:spPr>
                    <a:xfrm>
                      <a:off x="0" y="0"/>
                      <a:ext cx="4752975" cy="1104900"/>
                    </a:xfrm>
                    <a:prstGeom prst="rect">
                      <a:avLst/>
                    </a:prstGeom>
                    <a:noFill/>
                    <a:ln>
                      <a:noFill/>
                    </a:ln>
                  </pic:spPr>
                </pic:pic>
              </a:graphicData>
            </a:graphic>
          </wp:anchor>
        </w:drawing>
      </w: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4.3.3机构只能在质量管理体系和环境管理体系认证领域按本文件规定使用IAF-MLA/CNAS联合标志。</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4.3.4为建筑施工领域获证组织颁发质量管理体系认证证书时，如果认证标准为GB/T 19001/ISO 9001和GB/T 50430，颁发不带有IAF-MLA国际互认标志的认证证书；如果认证标准为ISO 9001，可颁发带有IAF-MLA国际互认标志的认证证书（此证书不能在中国境内使用和展示）。</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4.3.5机构不得提及或暗示IAF和（或）CNAS对其活动负责。</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4.3.6机构向获证组织颁发“获证牌匾”时，该牌匾中IAF-MLA/CNAS联合标志的使用应符合本文件的规定，并应在正式使用前将“获证牌匾”样式提交CNAS备案。</w:t>
      </w:r>
    </w:p>
    <w:p>
      <w:pPr>
        <w:numPr>
          <w:ilvl w:val="0"/>
          <w:numId w:val="0"/>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4.3.7机构如因IAF-MLA/CNAS联合标志引起法律诉讼，应及时通告CNAS。如果采取法律行动，应经CNAS准许。</w:t>
      </w:r>
    </w:p>
    <w:p>
      <w:pPr>
        <w:numPr>
          <w:ilvl w:val="0"/>
          <w:numId w:val="1"/>
        </w:numPr>
        <w:spacing w:line="360" w:lineRule="auto"/>
        <w:rPr>
          <w:rFonts w:hint="eastAsia"/>
          <w:sz w:val="24"/>
          <w:szCs w:val="24"/>
          <w:lang w:val="en-US" w:eastAsia="zh-CN"/>
        </w:rPr>
      </w:pPr>
      <w:r>
        <w:rPr>
          <w:rFonts w:hint="eastAsia"/>
          <w:sz w:val="24"/>
          <w:szCs w:val="24"/>
          <w:lang w:val="en-US" w:eastAsia="zh-CN"/>
        </w:rPr>
        <w:t>认证证书和标志使用控制</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对机构认证证书和认证标志的任何改变需经总经理批准，并报CNCA和CNAS备案。如果发现机构总部或办事机构在认可证书和标志的使用及宣传上违反本程序第6章要求，技术部应立即责成进行纠正并视情况采取进一步措施。</w:t>
      </w:r>
    </w:p>
    <w:p>
      <w:pPr>
        <w:numPr>
          <w:ilvl w:val="0"/>
          <w:numId w:val="1"/>
        </w:numPr>
        <w:spacing w:line="360" w:lineRule="auto"/>
        <w:rPr>
          <w:rFonts w:hint="default"/>
          <w:sz w:val="24"/>
          <w:szCs w:val="24"/>
          <w:lang w:val="en-US" w:eastAsia="zh-CN"/>
        </w:rPr>
      </w:pPr>
      <w:r>
        <w:rPr>
          <w:rFonts w:hint="eastAsia"/>
          <w:sz w:val="24"/>
          <w:szCs w:val="24"/>
          <w:lang w:val="en-US" w:eastAsia="zh-CN"/>
        </w:rPr>
        <w:t>标志类型</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6.1认证标志</w:t>
      </w:r>
    </w:p>
    <w:p>
      <w:pPr>
        <w:numPr>
          <w:ilvl w:val="0"/>
          <w:numId w:val="0"/>
        </w:numPr>
        <w:bidi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公司颁发的、供获准认证组织使用的、表示其认证资格的图形符号。微谱徽标与组织的注册号如下图所示共同构成认证标志。</w:t>
      </w:r>
    </w:p>
    <w:p>
      <w:pPr>
        <w:numPr>
          <w:ilvl w:val="0"/>
          <w:numId w:val="0"/>
        </w:numPr>
        <w:bidi w:val="0"/>
        <w:spacing w:line="360" w:lineRule="auto"/>
        <w:rPr>
          <w:rFonts w:hint="eastAsia" w:ascii="宋体" w:hAnsi="宋体" w:cs="宋体"/>
          <w:sz w:val="24"/>
          <w:szCs w:val="24"/>
          <w:lang w:val="en-US" w:eastAsia="zh-CN"/>
        </w:rPr>
      </w:pPr>
      <w:r>
        <w:drawing>
          <wp:anchor distT="0" distB="0" distL="114300" distR="114300" simplePos="0" relativeHeight="251664384" behindDoc="0" locked="0" layoutInCell="1" allowOverlap="1">
            <wp:simplePos x="0" y="0"/>
            <wp:positionH relativeFrom="column">
              <wp:posOffset>2008505</wp:posOffset>
            </wp:positionH>
            <wp:positionV relativeFrom="paragraph">
              <wp:posOffset>53975</wp:posOffset>
            </wp:positionV>
            <wp:extent cx="1739900" cy="831850"/>
            <wp:effectExtent l="0" t="0" r="0" b="0"/>
            <wp:wrapNone/>
            <wp:docPr id="6" name="图片 2" descr="微谱Logo（SOP页眉H1.55xW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微谱Logo（SOP页眉H1.55xW3.24）.png"/>
                    <pic:cNvPicPr>
                      <a:picLocks noChangeAspect="1"/>
                    </pic:cNvPicPr>
                  </pic:nvPicPr>
                  <pic:blipFill>
                    <a:blip r:embed="rId6"/>
                    <a:stretch>
                      <a:fillRect/>
                    </a:stretch>
                  </pic:blipFill>
                  <pic:spPr>
                    <a:xfrm>
                      <a:off x="0" y="0"/>
                      <a:ext cx="1739900" cy="831850"/>
                    </a:xfrm>
                    <a:prstGeom prst="rect">
                      <a:avLst/>
                    </a:prstGeom>
                    <a:noFill/>
                    <a:ln>
                      <a:noFill/>
                    </a:ln>
                  </pic:spPr>
                </pic:pic>
              </a:graphicData>
            </a:graphic>
          </wp:anchor>
        </w:drawing>
      </w: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6.2认可标志</w:t>
      </w:r>
    </w:p>
    <w:p>
      <w:pPr>
        <w:numPr>
          <w:ilvl w:val="0"/>
          <w:numId w:val="0"/>
        </w:numPr>
        <w:bidi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CNAS颁发的、供获准认可的管理体系认证机构使用的、表示其认可资格的图形，由 CNAS 徽标和标明认可制度的文字、注册号组成。</w:t>
      </w:r>
    </w:p>
    <w:p>
      <w:pPr>
        <w:numPr>
          <w:ilvl w:val="0"/>
          <w:numId w:val="0"/>
        </w:numPr>
        <w:bidi w:val="0"/>
        <w:spacing w:line="360" w:lineRule="auto"/>
        <w:ind w:firstLine="420" w:firstLineChars="200"/>
        <w:rPr>
          <w:rFonts w:hint="eastAsia" w:ascii="宋体" w:hAnsi="宋体" w:cs="宋体"/>
          <w:sz w:val="24"/>
          <w:szCs w:val="24"/>
          <w:lang w:val="en-US" w:eastAsia="zh-CN"/>
        </w:rPr>
      </w:pPr>
      <w:r>
        <w:drawing>
          <wp:anchor distT="0" distB="0" distL="114300" distR="114300" simplePos="0" relativeHeight="251665408" behindDoc="0" locked="0" layoutInCell="1" allowOverlap="1">
            <wp:simplePos x="0" y="0"/>
            <wp:positionH relativeFrom="column">
              <wp:posOffset>1362710</wp:posOffset>
            </wp:positionH>
            <wp:positionV relativeFrom="paragraph">
              <wp:posOffset>15240</wp:posOffset>
            </wp:positionV>
            <wp:extent cx="3543300" cy="1200150"/>
            <wp:effectExtent l="0" t="0" r="0"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7"/>
                    <a:stretch>
                      <a:fillRect/>
                    </a:stretch>
                  </pic:blipFill>
                  <pic:spPr>
                    <a:xfrm>
                      <a:off x="0" y="0"/>
                      <a:ext cx="3543300" cy="1200150"/>
                    </a:xfrm>
                    <a:prstGeom prst="rect">
                      <a:avLst/>
                    </a:prstGeom>
                    <a:noFill/>
                    <a:ln>
                      <a:noFill/>
                    </a:ln>
                  </pic:spPr>
                </pic:pic>
              </a:graphicData>
            </a:graphic>
          </wp:anchor>
        </w:drawing>
      </w:r>
    </w:p>
    <w:p>
      <w:pPr>
        <w:numPr>
          <w:ilvl w:val="0"/>
          <w:numId w:val="0"/>
        </w:numPr>
        <w:bidi w:val="0"/>
        <w:spacing w:line="360" w:lineRule="auto"/>
        <w:ind w:firstLine="480" w:firstLineChars="200"/>
        <w:rPr>
          <w:rFonts w:hint="eastAsia" w:ascii="宋体" w:hAnsi="宋体" w:cs="宋体"/>
          <w:sz w:val="24"/>
          <w:szCs w:val="24"/>
          <w:lang w:val="en-US" w:eastAsia="zh-CN"/>
        </w:rPr>
      </w:pPr>
    </w:p>
    <w:p>
      <w:pPr>
        <w:numPr>
          <w:ilvl w:val="0"/>
          <w:numId w:val="0"/>
        </w:numPr>
        <w:bidi w:val="0"/>
        <w:spacing w:line="360" w:lineRule="auto"/>
        <w:ind w:firstLine="480" w:firstLineChars="200"/>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6.3IAF-MLA国际互认标志</w:t>
      </w:r>
    </w:p>
    <w:p>
      <w:pPr>
        <w:numPr>
          <w:ilvl w:val="0"/>
          <w:numId w:val="0"/>
        </w:numPr>
        <w:bidi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国际认可论坛（IAF）表明相关国家（或经济体）认可机构所实施的认可制度已正式签署了多边互认协议的图形符号。</w:t>
      </w:r>
    </w:p>
    <w:p>
      <w:pPr>
        <w:numPr>
          <w:ilvl w:val="0"/>
          <w:numId w:val="0"/>
        </w:numPr>
        <w:bidi w:val="0"/>
        <w:spacing w:line="360" w:lineRule="auto"/>
        <w:rPr>
          <w:rFonts w:hint="eastAsia" w:ascii="宋体" w:hAnsi="宋体" w:cs="宋体"/>
          <w:sz w:val="24"/>
          <w:szCs w:val="24"/>
          <w:lang w:val="en-US" w:eastAsia="zh-CN"/>
        </w:rPr>
      </w:pPr>
      <w:r>
        <w:rPr>
          <w:rFonts w:ascii="宋体" w:hAnsi="宋体"/>
          <w:szCs w:val="21"/>
        </w:rPr>
        <w:drawing>
          <wp:anchor distT="0" distB="0" distL="114300" distR="114300" simplePos="0" relativeHeight="251666432" behindDoc="0" locked="0" layoutInCell="1" allowOverlap="1">
            <wp:simplePos x="0" y="0"/>
            <wp:positionH relativeFrom="column">
              <wp:posOffset>2207260</wp:posOffset>
            </wp:positionH>
            <wp:positionV relativeFrom="paragraph">
              <wp:posOffset>10160</wp:posOffset>
            </wp:positionV>
            <wp:extent cx="1504950" cy="916305"/>
            <wp:effectExtent l="0" t="0" r="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504950" cy="916305"/>
                    </a:xfrm>
                    <a:prstGeom prst="rect">
                      <a:avLst/>
                    </a:prstGeom>
                    <a:noFill/>
                    <a:ln>
                      <a:noFill/>
                    </a:ln>
                  </pic:spPr>
                </pic:pic>
              </a:graphicData>
            </a:graphic>
          </wp:anchor>
        </w:drawing>
      </w: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6.4 IAF-MLA/CNAS国际互认联合标志</w:t>
      </w:r>
    </w:p>
    <w:p>
      <w:pPr>
        <w:numPr>
          <w:ilvl w:val="0"/>
          <w:numId w:val="0"/>
        </w:numPr>
        <w:bidi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由IAF-MLA国际互认标志和认可标志共同组成的图形符号。如，</w:t>
      </w:r>
    </w:p>
    <w:p>
      <w:pPr>
        <w:numPr>
          <w:ilvl w:val="0"/>
          <w:numId w:val="0"/>
        </w:numPr>
        <w:bidi w:val="0"/>
        <w:spacing w:line="360" w:lineRule="auto"/>
        <w:rPr>
          <w:rFonts w:hint="eastAsia" w:ascii="宋体" w:hAnsi="宋体" w:cs="宋体"/>
          <w:sz w:val="24"/>
          <w:szCs w:val="24"/>
          <w:lang w:val="en-US" w:eastAsia="zh-CN"/>
        </w:rPr>
      </w:pPr>
      <w:r>
        <w:drawing>
          <wp:anchor distT="0" distB="0" distL="114300" distR="114300" simplePos="0" relativeHeight="251667456" behindDoc="0" locked="0" layoutInCell="1" allowOverlap="1">
            <wp:simplePos x="0" y="0"/>
            <wp:positionH relativeFrom="column">
              <wp:posOffset>1146175</wp:posOffset>
            </wp:positionH>
            <wp:positionV relativeFrom="paragraph">
              <wp:posOffset>44450</wp:posOffset>
            </wp:positionV>
            <wp:extent cx="4657725" cy="1104900"/>
            <wp:effectExtent l="0" t="0" r="0" b="0"/>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a:srcRect l="1942"/>
                    <a:stretch>
                      <a:fillRect/>
                    </a:stretch>
                  </pic:blipFill>
                  <pic:spPr>
                    <a:xfrm>
                      <a:off x="0" y="0"/>
                      <a:ext cx="4657725" cy="1104900"/>
                    </a:xfrm>
                    <a:prstGeom prst="rect">
                      <a:avLst/>
                    </a:prstGeom>
                    <a:noFill/>
                    <a:ln>
                      <a:noFill/>
                    </a:ln>
                  </pic:spPr>
                </pic:pic>
              </a:graphicData>
            </a:graphic>
          </wp:anchor>
        </w:drawing>
      </w: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4.5认可证书</w:t>
      </w:r>
    </w:p>
    <w:p>
      <w:pPr>
        <w:numPr>
          <w:ilvl w:val="0"/>
          <w:numId w:val="0"/>
        </w:numPr>
        <w:bidi w:val="0"/>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CNAS颁发给获准认可的机构，表明所确定的范围已被认可的一组正式文件，包括符合特定认可准则的证明和认可范围附件。</w:t>
      </w:r>
    </w:p>
    <w:sectPr>
      <w:headerReference r:id="rId3" w:type="default"/>
      <w:footerReference r:id="rId4" w:type="default"/>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lang w:val="en-US" w:eastAsia="zh-CN"/>
      </w:rPr>
    </w:pPr>
    <w:bookmarkStart w:id="1" w:name="OLE_LINK2"/>
    <w:r>
      <w:rPr>
        <w:rFonts w:hint="eastAsia" w:ascii="宋体" w:hAnsi="宋体" w:eastAsia="宋体" w:cs="宋体"/>
        <w:lang w:val="en-US" w:eastAsia="zh-CN"/>
      </w:rPr>
      <w:t>WPRZ-GK-0</w:t>
    </w:r>
    <w:bookmarkEnd w:id="1"/>
    <w:r>
      <w:rPr>
        <w:rFonts w:hint="eastAsia" w:ascii="宋体" w:hAnsi="宋体" w:cs="宋体"/>
        <w:lang w:val="en-US" w:eastAsia="zh-CN"/>
      </w:rPr>
      <w:t>6</w:t>
    </w:r>
    <w:r>
      <w:rPr>
        <w:rFonts w:hint="eastAsia" w:ascii="宋体" w:hAnsi="宋体" w:eastAsia="宋体" w:cs="宋体"/>
        <w:lang w:val="en-US" w:eastAsia="zh-CN"/>
      </w:rPr>
      <w:t xml:space="preserve">                                                                                       Issue A/0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eastAsiaTheme="minorEastAsia"/>
        <w:lang w:val="en-US" w:eastAsia="zh-CN"/>
      </w:rPr>
    </w:pPr>
    <w:r>
      <w:drawing>
        <wp:inline distT="0" distB="0" distL="0" distR="0">
          <wp:extent cx="1166495" cy="557530"/>
          <wp:effectExtent l="0" t="0" r="0" b="0"/>
          <wp:docPr id="2" name="图片 1" descr="微谱Logo（SOP页眉H1.55xW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谱Logo（SOP页眉H1.55xW3.24）.png"/>
                  <pic:cNvPicPr>
                    <a:picLocks noChangeAspect="1"/>
                  </pic:cNvPicPr>
                </pic:nvPicPr>
                <pic:blipFill>
                  <a:blip r:embed="rId1"/>
                  <a:stretch>
                    <a:fillRect/>
                  </a:stretch>
                </pic:blipFill>
                <pic:spPr>
                  <a:xfrm>
                    <a:off x="0" y="0"/>
                    <a:ext cx="1166495" cy="5575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B94C6"/>
    <w:multiLevelType w:val="singleLevel"/>
    <w:tmpl w:val="7DEB94C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4267C10"/>
    <w:rsid w:val="04267C10"/>
    <w:rsid w:val="070A631C"/>
    <w:rsid w:val="557B457D"/>
    <w:rsid w:val="6184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2025-06-18T03:09:00Z</dcterms:created>
  <dc:creator>Nico</dc:creator>
  <cp:lastModifiedBy>Nico</cp:lastModifiedBy>
  <dcterms:modified xsi:type="dcterms:W3CDTF">2025-06-18T06:31:47Z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0937C07636B543F589D8706C3E9DD685_11</vt:lpwstr>
  </property>
</Properties>
</file>